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итогам 3 квартала 2018 года (с нарастающим итогом)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исполнению функции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ЖИЛИЩНОГО КОНТРОЛЯ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отделом муниципального контроля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3 квартала 2018 год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нарастающим итогом) в рамках осуществления функции муниципального  жилищного контроля отделом муниципального контроля проведено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проверочных мероприятий в том числе: </w:t>
      </w:r>
    </w:p>
    <w:p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плановые проверки </w:t>
      </w:r>
      <w:r>
        <w:rPr>
          <w:rFonts w:ascii="Times New Roman" w:hAnsi="Times New Roman"/>
          <w:b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 xml:space="preserve"> (товарищества собственников жилья) -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внеплановая проверка юридического лица (ТСЖ) в части выполнения предписания об устранении нарушений - </w:t>
      </w:r>
      <w:r>
        <w:rPr>
          <w:rFonts w:ascii="Times New Roman" w:hAnsi="Times New Roman"/>
          <w:b/>
          <w:sz w:val="24"/>
          <w:szCs w:val="24"/>
        </w:rPr>
        <w:t>1</w:t>
      </w:r>
    </w:p>
    <w:p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внеплановые выездные проверки </w:t>
      </w:r>
      <w:r>
        <w:rPr>
          <w:rFonts w:ascii="Times New Roman" w:hAnsi="Times New Roman"/>
          <w:b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 xml:space="preserve">, проживающих в муниципальном жилищном фонде – </w:t>
      </w:r>
      <w:r>
        <w:rPr>
          <w:rFonts w:ascii="Times New Roman" w:hAnsi="Times New Roman"/>
          <w:b/>
          <w:sz w:val="24"/>
          <w:szCs w:val="24"/>
        </w:rPr>
        <w:t>10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обследованных помещений составила 11471,1 кв.м. 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материалам проверочных мероприятий в 5 случаях выявлены признаки нарушений требований жилищного законодательства. Нарушителям выданы предписания об устранении выявленных нарушений жилищного законодательства.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воспрепятствование законной деятельности должностного лица органа муниципального контроля, в отношении </w:t>
      </w:r>
      <w:proofErr w:type="gramStart"/>
      <w:r>
        <w:rPr>
          <w:rFonts w:ascii="Times New Roman" w:hAnsi="Times New Roman"/>
          <w:sz w:val="24"/>
          <w:szCs w:val="24"/>
        </w:rPr>
        <w:t>физических лиц, не явившихся на проверку составлено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4 протокола по ч. 1 ст. 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РФ. Материалы дел рассмотрены мировым судом и по 3 делам вынесены постановления о привлечении нарушителей к административной ответственности, наложены административные штрафы в сумме 1500 руб.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проверок, в которых выявлено систематическое ненадлежащее содержание муниципального жилого фонда, имеется рост задолженности по оплате за социальный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коммунальные услуги, передаются в жилищный отдел в качестве дополнительной доказательной базы для судебных исков в решении вопроса о выселении граждан из муниципального жилого фонда.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409" w:type="dxa"/>
        <w:tblInd w:w="95" w:type="dxa"/>
        <w:tblLook w:val="04A0"/>
      </w:tblPr>
      <w:tblGrid>
        <w:gridCol w:w="336"/>
        <w:gridCol w:w="2991"/>
        <w:gridCol w:w="802"/>
        <w:gridCol w:w="784"/>
        <w:gridCol w:w="2188"/>
        <w:gridCol w:w="2308"/>
      </w:tblGrid>
      <w:tr>
        <w:trPr>
          <w:trHeight w:val="900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жилищного законодательства в рамках осуществления муниципального жилищного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итогам 3 квартала 2018 год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>
        <w:trPr>
          <w:trHeight w:val="41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Документарные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Выездные</w:t>
            </w:r>
          </w:p>
        </w:tc>
      </w:tr>
      <w:tr>
        <w:trPr>
          <w:trHeight w:val="63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проверочных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юридических лиц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выданных  предписаний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протоколов о привлечении нарушителей к административной ответственности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402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ч.1 ст. 19.4.1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ч.1 ст.19.5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>
      <w:r>
        <w:rPr>
          <w:rFonts w:ascii="Times New Roman" w:hAnsi="Times New Roman"/>
          <w:sz w:val="24"/>
          <w:szCs w:val="24"/>
        </w:rPr>
        <w:t>Главный специалист отдела муниципального контр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2018-10-15T12:08:00Z</dcterms:created>
  <dcterms:modified xsi:type="dcterms:W3CDTF">2018-10-15T12:08:00Z</dcterms:modified>
</cp:coreProperties>
</file>